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6"/>
        <w:gridCol w:w="425"/>
      </w:tblGrid>
      <w:tr w:rsidR="009C0401" w:rsidRPr="00226CDF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9900"/>
                <w:sz w:val="20"/>
                <w:u w:val="wave"/>
                <w:lang w:eastAsia="es-ES"/>
              </w:rPr>
            </w:pPr>
            <w:bookmarkStart w:id="0" w:name="reglamento"/>
            <w:bookmarkEnd w:id="0"/>
            <w:r w:rsidRPr="00226CDF">
              <w:rPr>
                <w:rFonts w:ascii="Verdana" w:eastAsia="Times New Roman" w:hAnsi="Verdana"/>
                <w:b/>
                <w:bCs/>
                <w:color w:val="FF9900"/>
                <w:sz w:val="20"/>
                <w:u w:val="wave"/>
                <w:lang w:eastAsia="es-ES"/>
              </w:rPr>
              <w:t>REGLAMENTO DEL PREMIO "</w:t>
            </w:r>
            <w:r w:rsidR="007E7CB7">
              <w:rPr>
                <w:rFonts w:ascii="Verdana" w:eastAsia="Times New Roman" w:hAnsi="Verdana"/>
                <w:b/>
                <w:bCs/>
                <w:color w:val="FF9900"/>
                <w:sz w:val="20"/>
                <w:u w:val="wave"/>
                <w:lang w:eastAsia="es-ES"/>
              </w:rPr>
              <w:t xml:space="preserve">ANDREAS </w:t>
            </w:r>
            <w:r w:rsidRPr="00226CDF">
              <w:rPr>
                <w:rFonts w:ascii="Verdana" w:eastAsia="Times New Roman" w:hAnsi="Verdana"/>
                <w:b/>
                <w:bCs/>
                <w:color w:val="FF9900"/>
                <w:sz w:val="20"/>
                <w:u w:val="wave"/>
                <w:lang w:eastAsia="es-ES"/>
              </w:rPr>
              <w:t>VESALIO" AL MEJOR TRABAJO DE CIRUGÍA UNIVERSIDAD ABIERTA INTERAMERICANA</w:t>
            </w:r>
          </w:p>
          <w:p w:rsidR="007E7CB7" w:rsidRDefault="007E7CB7" w:rsidP="007E7CB7">
            <w:pPr>
              <w:spacing w:after="0" w:line="240" w:lineRule="auto"/>
              <w:rPr>
                <w:bCs/>
                <w:color w:val="4A442A" w:themeColor="background2" w:themeShade="40"/>
              </w:rPr>
            </w:pPr>
          </w:p>
          <w:p w:rsidR="007E7CB7" w:rsidRPr="007E7CB7" w:rsidRDefault="007E7CB7" w:rsidP="00B06DD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u w:val="wave"/>
                <w:lang w:eastAsia="es-ES"/>
              </w:rPr>
            </w:pPr>
            <w:r w:rsidRPr="007E7CB7">
              <w:rPr>
                <w:bCs/>
              </w:rPr>
              <w:t xml:space="preserve">André </w:t>
            </w:r>
            <w:r w:rsidR="00B06DD5">
              <w:rPr>
                <w:bCs/>
              </w:rPr>
              <w:t>o</w:t>
            </w:r>
            <w:r w:rsidRPr="007E7CB7">
              <w:rPr>
                <w:bCs/>
              </w:rPr>
              <w:t xml:space="preserve"> Andreas </w:t>
            </w:r>
            <w:proofErr w:type="spellStart"/>
            <w:r w:rsidRPr="007E7CB7">
              <w:rPr>
                <w:bCs/>
              </w:rPr>
              <w:t>Vesalio</w:t>
            </w:r>
            <w:proofErr w:type="spellEnd"/>
            <w:r w:rsidRPr="007E7CB7">
              <w:t xml:space="preserve"> (</w:t>
            </w:r>
            <w:hyperlink r:id="rId4" w:history="1">
              <w:r w:rsidRPr="007E7CB7">
                <w:rPr>
                  <w:rStyle w:val="Hipervnculo"/>
                  <w:color w:val="auto"/>
                  <w:u w:val="none"/>
                </w:rPr>
                <w:t>1514</w:t>
              </w:r>
            </w:hyperlink>
            <w:r w:rsidRPr="007E7CB7">
              <w:t xml:space="preserve"> - </w:t>
            </w:r>
            <w:hyperlink r:id="rId5" w:history="1">
              <w:r w:rsidRPr="007E7CB7">
                <w:rPr>
                  <w:rStyle w:val="Hipervnculo"/>
                  <w:color w:val="auto"/>
                  <w:u w:val="none"/>
                </w:rPr>
                <w:t>1564</w:t>
              </w:r>
            </w:hyperlink>
            <w:r w:rsidRPr="007E7CB7">
              <w:t>)</w:t>
            </w:r>
            <w:r w:rsidR="003D2909">
              <w:t xml:space="preserve"> </w:t>
            </w:r>
            <w:r w:rsidRPr="007E7CB7">
              <w:t xml:space="preserve">, anatomista </w:t>
            </w:r>
            <w:hyperlink r:id="rId6" w:tooltip="Flandes" w:history="1">
              <w:r w:rsidRPr="007E7CB7">
                <w:rPr>
                  <w:rStyle w:val="Hipervnculo"/>
                  <w:color w:val="auto"/>
                  <w:u w:val="none"/>
                </w:rPr>
                <w:t>flamenco</w:t>
              </w:r>
            </w:hyperlink>
            <w:r w:rsidRPr="007E7CB7">
              <w:t xml:space="preserve">, fue el autor de uno de los libros más importantes sobre </w:t>
            </w:r>
            <w:hyperlink r:id="rId7" w:history="1">
              <w:r w:rsidRPr="007E7CB7">
                <w:rPr>
                  <w:rStyle w:val="Hipervnculo"/>
                  <w:color w:val="auto"/>
                  <w:u w:val="none"/>
                </w:rPr>
                <w:t>anatomía humana</w:t>
              </w:r>
            </w:hyperlink>
            <w:r w:rsidRPr="007E7CB7">
              <w:t xml:space="preserve">, </w:t>
            </w:r>
            <w:hyperlink r:id="rId8" w:history="1">
              <w:r w:rsidRPr="007E7CB7">
                <w:rPr>
                  <w:rStyle w:val="Hipervnculo"/>
                  <w:i/>
                  <w:iCs/>
                  <w:color w:val="auto"/>
                  <w:u w:val="none"/>
                </w:rPr>
                <w:t xml:space="preserve">De </w:t>
              </w:r>
              <w:proofErr w:type="spellStart"/>
              <w:r w:rsidRPr="007E7CB7">
                <w:rPr>
                  <w:rStyle w:val="Hipervnculo"/>
                  <w:i/>
                  <w:iCs/>
                  <w:color w:val="auto"/>
                  <w:u w:val="none"/>
                </w:rPr>
                <w:t>humani</w:t>
              </w:r>
              <w:proofErr w:type="spellEnd"/>
              <w:r w:rsidRPr="007E7CB7">
                <w:rPr>
                  <w:rStyle w:val="Hipervnculo"/>
                  <w:i/>
                  <w:iCs/>
                  <w:color w:val="auto"/>
                  <w:u w:val="none"/>
                </w:rPr>
                <w:t xml:space="preserve"> </w:t>
              </w:r>
              <w:proofErr w:type="spellStart"/>
              <w:r w:rsidRPr="007E7CB7">
                <w:rPr>
                  <w:rStyle w:val="Hipervnculo"/>
                  <w:i/>
                  <w:iCs/>
                  <w:color w:val="auto"/>
                  <w:u w:val="none"/>
                </w:rPr>
                <w:t>corporis</w:t>
              </w:r>
              <w:proofErr w:type="spellEnd"/>
              <w:r w:rsidRPr="007E7CB7">
                <w:rPr>
                  <w:rStyle w:val="Hipervnculo"/>
                  <w:i/>
                  <w:iCs/>
                  <w:color w:val="auto"/>
                  <w:u w:val="none"/>
                </w:rPr>
                <w:t xml:space="preserve"> fabrica</w:t>
              </w:r>
            </w:hyperlink>
            <w:r w:rsidRPr="007E7CB7">
              <w:t xml:space="preserve"> (</w:t>
            </w:r>
            <w:r w:rsidRPr="007E7CB7">
              <w:rPr>
                <w:i/>
                <w:iCs/>
              </w:rPr>
              <w:t>Sobre la estructura del cuerpo humano</w:t>
            </w:r>
            <w:r w:rsidRPr="007E7CB7">
              <w:t xml:space="preserve">). Es considerado el fundador de la anatomía moderna, fundamentada en </w:t>
            </w:r>
            <w:r w:rsidR="003D2909">
              <w:t xml:space="preserve">investigaciones y </w:t>
            </w:r>
            <w:r w:rsidRPr="007E7CB7">
              <w:t>observaciones directas de las estructuras que describía.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7CB7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  <w:r w:rsidRPr="00786FF2"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  <w:t> </w:t>
            </w:r>
          </w:p>
          <w:p w:rsidR="007E7CB7" w:rsidRDefault="007E7CB7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</w:p>
          <w:p w:rsidR="009C0401" w:rsidRPr="00786FF2" w:rsidRDefault="007E7CB7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  <w:t>Sumario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6858000" cy="11430"/>
                  <wp:effectExtent l="19050" t="0" r="0" b="0"/>
                  <wp:docPr id="1" name="Imagen 1" descr="http://www.cirugia-uy.com/estatutos/imgs/l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irugia-uy.com/estatutos/imgs/l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8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2"/>
              <w:gridCol w:w="3418"/>
              <w:gridCol w:w="3630"/>
            </w:tblGrid>
            <w:tr w:rsidR="009C0401" w:rsidRPr="00786FF2" w:rsidTr="00F06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</w:pPr>
                  <w:r w:rsidRPr="00786FF2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</w:pPr>
                  <w:r w:rsidRPr="00786FF2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 w:rsidRPr="00786FF2"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9C0401" w:rsidRPr="00786FF2" w:rsidTr="00F06D0E">
              <w:trPr>
                <w:tblCellSpacing w:w="0" w:type="dxa"/>
              </w:trPr>
              <w:tc>
                <w:tcPr>
                  <w:tcW w:w="3720" w:type="dxa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0" w:anchor="reglamento1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1- DE LOS OBJETIVOS</w:t>
                    </w:r>
                  </w:hyperlink>
                </w:p>
              </w:tc>
              <w:tc>
                <w:tcPr>
                  <w:tcW w:w="3390" w:type="dxa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1" w:anchor="reglamento4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4- DE LOS TRABAJOS</w:t>
                    </w:r>
                  </w:hyperlink>
                </w:p>
              </w:tc>
              <w:tc>
                <w:tcPr>
                  <w:tcW w:w="3600" w:type="dxa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2" w:anchor="reglamento7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7- DE LOS FALLOS</w:t>
                    </w:r>
                  </w:hyperlink>
                </w:p>
              </w:tc>
            </w:tr>
            <w:tr w:rsidR="009C0401" w:rsidRPr="00786FF2" w:rsidTr="00F06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3" w:anchor="reglamento2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2- DE LAS BASES Y DEL LLAMADO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4" w:anchor="reglamento5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5- DE LAS INSCRIPCIONES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5" w:anchor="reglamento8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8- DEL PREMIO</w:t>
                    </w:r>
                  </w:hyperlink>
                </w:p>
              </w:tc>
            </w:tr>
            <w:tr w:rsidR="009C0401" w:rsidRPr="00786FF2" w:rsidTr="00F06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401" w:rsidRPr="009C0401" w:rsidRDefault="00FC0817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6" w:anchor="reglamento3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3 - DE LOS ASPIRANTES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9C0401" w:rsidRDefault="00FC0817" w:rsidP="009C0401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hyperlink r:id="rId17" w:anchor="reglamento6" w:history="1">
                    <w:r w:rsidR="009C0401" w:rsidRPr="009C0401">
                      <w:rPr>
                        <w:rFonts w:asciiTheme="minorHAnsi" w:eastAsia="Times New Roman" w:hAnsiTheme="minorHAnsi"/>
                        <w:b/>
                        <w:color w:val="4A442A" w:themeColor="background2" w:themeShade="40"/>
                        <w:sz w:val="20"/>
                        <w:szCs w:val="20"/>
                        <w:lang w:eastAsia="es-ES"/>
                      </w:rPr>
                      <w:t>6- DEL JURADO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9C0401" w:rsidRDefault="009C0401" w:rsidP="00F06D0E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r w:rsidRPr="009C0401"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  <w:t>9.- DE LA SECRETARÍA ADMININTRATIVA</w:t>
                  </w:r>
                </w:p>
                <w:p w:rsidR="009C0401" w:rsidRPr="009C0401" w:rsidRDefault="009C0401" w:rsidP="009C0401">
                  <w:pPr>
                    <w:spacing w:after="0" w:line="240" w:lineRule="auto"/>
                    <w:ind w:left="-2336" w:firstLine="2336"/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</w:pPr>
                  <w:r w:rsidRPr="009C0401">
                    <w:rPr>
                      <w:rFonts w:asciiTheme="minorHAnsi" w:eastAsia="Times New Roman" w:hAnsiTheme="minorHAnsi"/>
                      <w:b/>
                      <w:color w:val="4A442A" w:themeColor="background2" w:themeShade="40"/>
                      <w:sz w:val="20"/>
                      <w:szCs w:val="20"/>
                      <w:lang w:eastAsia="es-ES"/>
                    </w:rPr>
                    <w:t>10.- DE LA ENTREGA DEL PREMIO</w:t>
                  </w:r>
                </w:p>
              </w:tc>
            </w:tr>
            <w:tr w:rsidR="009C0401" w:rsidRPr="00786FF2" w:rsidTr="00F06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</w:pPr>
                  <w:r w:rsidRPr="00786FF2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401" w:rsidRPr="00786FF2" w:rsidRDefault="009C0401" w:rsidP="00F06D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noProof/>
                <w:color w:val="FF9900"/>
                <w:sz w:val="20"/>
                <w:szCs w:val="20"/>
                <w:lang w:eastAsia="es-ES"/>
              </w:rPr>
              <w:drawing>
                <wp:inline distT="0" distB="0" distL="0" distR="0">
                  <wp:extent cx="6858000" cy="11430"/>
                  <wp:effectExtent l="19050" t="0" r="0" b="0"/>
                  <wp:docPr id="2" name="Imagen 2" descr="http://www.cirugia-uy.com/estatutos/imgs/l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www.cirugia-uy.com/estatutos/imgs/l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</w:pPr>
            <w:r w:rsidRPr="00786FF2">
              <w:rPr>
                <w:rFonts w:ascii="Verdana" w:eastAsia="Times New Roman" w:hAnsi="Verdana"/>
                <w:color w:val="FF9900"/>
                <w:sz w:val="20"/>
                <w:szCs w:val="20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9870" w:type="dxa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1" w:name="reglamento1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1.- DE LOS OBJETIVOS</w:t>
            </w:r>
            <w:bookmarkEnd w:id="1"/>
          </w:p>
        </w:tc>
        <w:tc>
          <w:tcPr>
            <w:tcW w:w="900" w:type="dxa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tabs>
                <w:tab w:val="left" w:pos="10220"/>
              </w:tabs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La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Universidad Abierta Interamericana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instituye un premio denominado "</w:t>
            </w:r>
            <w:r w:rsidR="007E7CB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ANDREAS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VESALIO”, cuyo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3D29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objetivo es estimular y promover la investigación científica en el área de la Cirugía 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General y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sus Especialidades.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2" w:name="reglamento2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2.- DE LAS BASES Y DEL LLAMADO</w:t>
            </w:r>
            <w:bookmarkEnd w:id="2"/>
            <w:r w:rsidR="003D2909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 xml:space="preserve"> A CONCURSO</w:t>
            </w:r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3D29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2.1. 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El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llamado 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 concurso se realizará según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las bases que se detallan seguidamente.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2.2.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La convocatoria a presentar trabajos será el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1</w:t>
            </w:r>
            <w:r w:rsidR="00987DC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5 de julio de 2013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y el cierre de inscripción será el </w:t>
            </w:r>
            <w:r w:rsidR="00987DC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30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de agosto de 201</w:t>
            </w:r>
            <w:r w:rsidR="00987DC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3D29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2.3. La </w:t>
            </w:r>
            <w:r w:rsidR="003D2909" w:rsidRPr="001F1D40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Secretaría de Investigaciones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de la Universidad y el Decanato de la Facultad de Medicina y Ciencias de la Salud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, dará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n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la más amplia difusión al llamado, tanto por los medios de comunicación masiva como por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información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directa a la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 distintas universidades, sociedades científicas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m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inisterios de Salud Pública y Educación y Cultura,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ervicios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m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édicos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públicos y privados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y otros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entros e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i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nstituciones en los que considere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pertinente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efectuarla.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3" w:name="reglamento3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3.- DE LOS ASPIRANTES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3.1. Los aspirantes deberán ser ciudadanos naturales o legales de la República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Argentina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3.2. Deberán ser profesionales universitarios con el título obtenido o revalidado en el país. En todo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 los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caso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deberá existir entre los autores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por lo menos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un cirujano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general o especializado en cualquiera de las disciplinas quirúrgicas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3.3.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El Decanato de la Facultad de Medicina y Ciencias de la Salud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podrá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por excepción,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autorizar la inscripción de un universitario no titulado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o de un titulado no ciudadano legal. En este último caso deberá tener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antecedentes científicos vinculados a cualquiera de las especialidades quirúrgicas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3D29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3.4. Si se presenta un equipo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que incluye “colaboradores”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, deberá adjuntarse una nota, firmada por cada uno de los integrantes, autorizando la inclusión de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los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nombre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respectivos 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de los primeros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con el detalle del aporte que han realizado para que el trabajo haya </w:t>
            </w:r>
            <w:r w:rsidR="003D2909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logrado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llevarse a cabo en las mejores condiciones posibles. Esa colaboración no tiene la categoría de la que corresponde a un coautor, tal como se menciona en el acápite siguiente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3.5.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n el caso de múltiples autores,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deberá adjuntarse un escrito en que se mencionan cuál o cuáles han sido las respectivas participaciones de cada uno de ello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 en el planeamiento y realización del trabajo.</w:t>
            </w:r>
          </w:p>
          <w:p w:rsidR="009C0401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3.6 Cada trabajo presentado no podrá tener más de 6 autores y no más de 3 colaboradores.</w:t>
            </w:r>
          </w:p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3.7 Ninguno de los autores podrá presentar más de 1 trabajo para optar al presente premio.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4" w:name="reglamento4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4.- DE LOS TRABAJOS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CF338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4.1. Los trabajos 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deberán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referirse a temas de investigación en Cirugía o en cualquiera de sus especialidades.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En su contenido deberán incluir algún aporte original o 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bien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ampliar o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modificar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conceptos corrientemente aceptados.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CF338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4.2. El autor o los autores principales deberán firmar una declaración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por la cual afirman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que el trabajo presentado no ha sido premiado </w:t>
            </w:r>
            <w:r w:rsidRPr="002F6440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previamente en el país o en el extranjero.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CF338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4.3. Podrán ser inéditos, aceptados para su publicación o publicados en los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dos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últimos años 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previos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 la fecha del cierre de la inscripción. Estarán redactados en idioma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castellano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. En el caso de haber sido publicados en otro idioma, deberán ser acompañados de una traducción completa al 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castellano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4.4. La presentación de los trabajos deberá ajustarse en un todo a las normas establecidas a nivel internacional en la materia, así como a las exigidas por la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Revista Argentina de Cirugía. (Resumen estructurado en castellano e inglés,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lastRenderedPageBreak/>
              <w:t>introducción, material y métodos, resultados, discusión, conclusiones y bibliografía). Se deberán manifestar en forma explícita eventuales conflictos de interés. Los trabajos de experimentación clínica deberán ajustarse a las normas éticas correspondientes y hacerlo explícito.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CF338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lastRenderedPageBreak/>
              <w:t xml:space="preserve">4.5. La bibliografía 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deberá incluir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referencias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argentinas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sobre el tema.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Las citas bibliográficas serán consignadas de acuerdo al reglamento de publicaciones de la Revista Argentina de Cirugía. Cada una de ellas deberá estar referenciada en el texto del trabajo.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CF338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4.6. La propiedad intelectual de los trab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ajos pertenece al o los autores, no obstante lo cual,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si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él o ellos autorizan expresamente al momento de la inscripción del trabajo, 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la UAI podrá publicarlo en el medio que considere conveniente en acuerdo con los autores.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5" w:name="reglamento5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5.- DE LAS INSCRIPCIONES</w:t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5.1. El período de inscripción será entre el </w:t>
            </w:r>
            <w:r w:rsidR="00F06D0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1</w:t>
            </w:r>
            <w:r w:rsidR="00987DCE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5 de julio y el 30 de agosto de 2013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, en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Chacabuco</w:t>
            </w:r>
            <w:proofErr w:type="spellEnd"/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90 CABA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Piso</w:t>
            </w:r>
            <w:r w:rsidR="00CF3387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3.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5.2.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Se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presentarán 6 (seis) ejemplares, escritos en caracteres </w:t>
            </w:r>
            <w:proofErr w:type="spellStart"/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Arial</w:t>
            </w:r>
            <w:proofErr w:type="spellEnd"/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 cuerpo 12, impresos en papel tamaño A4 encuadernados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, espiralados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 o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anillados. Se acompañarán de una versión electrónica en soporte CD-ROM, DVD o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pendrive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 No se establece límite de cantidad de páginas. Se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rec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ibirán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los trabajos en forma condicional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a cambio de lo cual se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extend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erá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un recibo en el que constar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án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el nombre del o los autores y colaboradores, el título del trabajo,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así como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fecha y hora de recepción.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 acompañará una</w:t>
            </w:r>
            <w:r w:rsidRPr="006236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727A19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declaración firmada por los autores en la que constará que aceptan el presente Reglamento de Premio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. Se aportará</w:t>
            </w:r>
            <w:r w:rsidRPr="00727A19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 xml:space="preserve"> una fotocopia de los correspondientes D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.</w:t>
            </w:r>
            <w:r w:rsidRPr="00727A19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N.I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.</w:t>
            </w:r>
            <w:r w:rsidRPr="00727A19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, así como la  fotocopia del título de grado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 xml:space="preserve"> de todos</w:t>
            </w:r>
            <w:r w:rsidRPr="00727A19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 xml:space="preserve"> y de la certificación de la condición de cirujano por parte de por lo menos uno de los coautores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5.3. Los trabajos serán puestos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a consideración de la Secretaría de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Investigaciones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, la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cual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controlará que se encuentren en condiciones reglamentarias.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5.4. Una vez aprobada la inscripción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se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comunicará a los autores la aceptación o en su defecto los motivos para su rechazo.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5.5.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elevará al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Jurado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los trabajos admitidos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,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dentro de los 10 días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siguiente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al cierre de la inscripción.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5.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6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 Los trabajos podrán ser presentados por el o los autores o por persona debidamente autorizada por aquellos con una carta o poder escrito.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6" w:name="reglamento6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 xml:space="preserve">6.- DEL </w:t>
            </w:r>
            <w:r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JURADO</w:t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1B50C3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6.1. El Jurado estará integrado 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por cuatro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personalidades médicas de reconocida competencia en Cirugía o sus Especialidades. Constará de tres miembros designados por la Facultad de Medicina y Ciencias de la Salud, </w:t>
            </w:r>
            <w:r w:rsidR="001B50C3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s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erá presidido por un cuarto miembro </w:t>
            </w:r>
            <w:r w:rsidR="001F1D40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con iguales atributos, 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perteneciente al cuerpo docente o al Consejo Superior de la UAI. Este último tendrá voz pero no voto para dictaminar sobre el trabajo ganador del concurso, no obstante lo cual firmará el acta en la que </w:t>
            </w:r>
            <w:r w:rsidR="001F1D40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han de constar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 los fundamentos de</w:t>
            </w:r>
            <w:r w:rsidR="001F1D40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l dictamen</w:t>
            </w:r>
            <w:r w:rsidR="00F06D0E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694BCB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6.2. Las autoridades de la UAI no podrán aspirar al Premio mientras duren en sus funciones. No están excluidos en cambio los profesionales asistenciales y los docentes que se desempeñan en los establecimientos asistenciales propios o con los que se hayan establecido convenios en vigencia.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6.3. Una vez obtenida la aceptación de los miembros del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jurado y ya finalizada la inscripción de los postulantes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, se comunicará su integración a los inscriptos.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Los autores podrán recusar a uno o más de los miembros del Jurado por motivos debidamente fundamentados. Dicha presentación será considerada por la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Secretaría de Investigaciones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de la Universidad y el Decanato de la Facultad de Medicina y Ciencias de la Salud. La resolución conjunta sobre este particular será inapelable.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6.4.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actuaciones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del Jurado 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serán reservadas.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6.5. Se levantará un acta de cada sesión. Todas las actas deberán ser debidamente firmadas por sus miembros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y depositadas en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Secretaría de Investigaciones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6.6. Sesionará en la sede de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l Rectorado de la UAI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, pero de ser necesario lo hará donde lo determine el Presidente.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1F1D4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6.7. </w:t>
            </w:r>
            <w:r w:rsidR="001F1D40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En el caso de surgir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1F1D40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alternativas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que no estuvier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a</w:t>
            </w:r>
            <w:r w:rsidR="001F1D40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n contemplada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 en est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e Reglamento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, el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Jurado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podrá adoptar las resoluciones que estime más adecuadas, por sí o previa consulta a la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Secretaría de Investigaciones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de la UAI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.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7" w:name="reglamento7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7.- DE LOS FALLOS</w:t>
            </w:r>
            <w:bookmarkEnd w:id="7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7.1. El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Jurado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dispondrá de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45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días calendario a partir de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la fecha de su primera reunión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para emitir su fallo.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7.2. El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Jurado po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drá consultar a los especialistas que considere necesarios para su asesoramiento, pero el fallo le será siempre privativo.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7.3. El fallo podrá ser tomado por unanimidad o por mayoría, lo que deberá constar en el Acta Final de las actuaciones del Tribunal.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7.4. El Premio podrá ser declarado desierto.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694BC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7.6. El fallo del Tribunal será inapelable salvo vicios de forma, lo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cual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 será resuelto por 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 xml:space="preserve">la </w:t>
            </w:r>
            <w:r w:rsidR="00694BCB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Secretaría de Investigaciones</w:t>
            </w: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  <w:bookmarkStart w:id="8" w:name="reglamento8"/>
            <w:r w:rsidRPr="00786FF2">
              <w:rPr>
                <w:rFonts w:ascii="Verdana" w:eastAsia="Times New Roman" w:hAnsi="Verdana"/>
                <w:b/>
                <w:bCs/>
                <w:color w:val="2D5361"/>
                <w:sz w:val="17"/>
                <w:lang w:eastAsia="es-ES"/>
              </w:rPr>
              <w:t>8.- DEL PREMIO</w:t>
            </w:r>
            <w:bookmarkEnd w:id="8"/>
          </w:p>
        </w:tc>
        <w:tc>
          <w:tcPr>
            <w:tcW w:w="0" w:type="auto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color w:val="2D5361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786FF2" w:rsidRDefault="009C0401" w:rsidP="00F06D0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</w:pPr>
            <w:r w:rsidRPr="00786FF2">
              <w:rPr>
                <w:rFonts w:ascii="Verdana" w:eastAsia="Times New Roman" w:hAnsi="Verdana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987DC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8.1. La dotación del Premio "</w:t>
            </w:r>
            <w:r w:rsidR="007E7CB7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ANDREAS </w:t>
            </w:r>
            <w:r w:rsidR="00987DCE">
              <w:rPr>
                <w:rFonts w:ascii="Verdana" w:eastAsia="Times New Roman" w:hAnsi="Verdana"/>
                <w:sz w:val="17"/>
                <w:szCs w:val="17"/>
                <w:lang w:eastAsia="es-ES"/>
              </w:rPr>
              <w:t>VESALIO" será de Pesos ocho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 mil ($</w:t>
            </w:r>
            <w:r w:rsidR="00987DCE">
              <w:rPr>
                <w:rFonts w:ascii="Verdana" w:eastAsia="Times New Roman" w:hAnsi="Verdana"/>
                <w:sz w:val="17"/>
                <w:szCs w:val="17"/>
                <w:lang w:eastAsia="es-ES"/>
              </w:rPr>
              <w:t>8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.000)</w:t>
            </w:r>
            <w:r w:rsidR="00987DCE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, más un equipo de la empresa DEMIK.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El importe </w:t>
            </w:r>
            <w:r w:rsidR="001F1D40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dinerario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será entregado en su totalidad al primer autor del trabajo quien le dará el destino que estime corresponder.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lastRenderedPageBreak/>
              <w:t>8.2. Como constancia del Premio otorgado, se entregará un diploma a cada uno de los coautores, donde se documentará el lauro obtenido. Todos los diplomas serán iguales. Además, se entregarán constancias escritas a los colaboradores en los que se mencionan las condiciones de tales.</w:t>
            </w:r>
          </w:p>
        </w:tc>
      </w:tr>
      <w:tr w:rsidR="009C0401" w:rsidRPr="008237E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highlight w:val="yellow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bookmarkStart w:id="9" w:name="reglamento9"/>
            <w:r w:rsidRPr="001B50C3">
              <w:rPr>
                <w:rFonts w:ascii="Verdana" w:eastAsia="Times New Roman" w:hAnsi="Verdana"/>
                <w:b/>
                <w:bCs/>
                <w:sz w:val="17"/>
                <w:lang w:eastAsia="es-ES"/>
              </w:rPr>
              <w:t>9.- DE LA SECRETARIA ADMINISTRATIVA</w:t>
            </w:r>
            <w:bookmarkEnd w:id="9"/>
          </w:p>
        </w:tc>
        <w:tc>
          <w:tcPr>
            <w:tcW w:w="0" w:type="auto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jc w:val="center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 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694BCB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9.1. La Secretaría será ejercida por la Secretar</w:t>
            </w:r>
            <w:r w:rsidR="00694BCB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ia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 de la </w:t>
            </w:r>
            <w:r w:rsidR="00694BCB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Secretaría de Investigaciones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de la UAI. Toda comunicación y entrega de trabajos deberá canalizarse a través de la misma.</w:t>
            </w:r>
          </w:p>
        </w:tc>
      </w:tr>
      <w:tr w:rsidR="009C0401" w:rsidRPr="00786FF2" w:rsidTr="00C0341A">
        <w:trPr>
          <w:trHeight w:val="56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9.2. La Secretaría llevará el debido registro de todos los trabajos inscriptos </w:t>
            </w: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9.3. La Secretaría entregará un ejemplar del presente Reglamento cada vez que le sea solicitado. Una copia del Reglamento firmada por los autores quedará depositada como prueba del conocimiento y la aceptación de sus términos.</w:t>
            </w:r>
          </w:p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786FF2" w:rsidTr="00F06D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</w:p>
        </w:tc>
      </w:tr>
      <w:tr w:rsidR="009C0401" w:rsidRPr="00226CDF" w:rsidTr="001B50C3">
        <w:trPr>
          <w:trHeight w:val="1129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 </w:t>
            </w:r>
            <w:r w:rsidRPr="001B50C3">
              <w:rPr>
                <w:rFonts w:ascii="Verdana" w:eastAsia="Times New Roman" w:hAnsi="Verdana"/>
                <w:b/>
                <w:sz w:val="17"/>
                <w:szCs w:val="17"/>
                <w:lang w:eastAsia="es-ES"/>
              </w:rPr>
              <w:t xml:space="preserve">10.- </w:t>
            </w:r>
            <w:r w:rsidRPr="001B50C3">
              <w:rPr>
                <w:rFonts w:ascii="Verdana" w:eastAsia="Times New Roman" w:hAnsi="Verdana"/>
                <w:b/>
                <w:bCs/>
                <w:sz w:val="17"/>
                <w:lang w:eastAsia="es-ES"/>
              </w:rPr>
              <w:t>DE LA ENTREGA DEL PREMIO</w:t>
            </w:r>
          </w:p>
          <w:p w:rsidR="009C0401" w:rsidRPr="001B50C3" w:rsidRDefault="009C0401" w:rsidP="00F06D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lang w:eastAsia="es-ES"/>
              </w:rPr>
            </w:pPr>
          </w:p>
          <w:p w:rsidR="009C0401" w:rsidRPr="001B50C3" w:rsidRDefault="009C0401" w:rsidP="007E7CB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s-ES"/>
              </w:rPr>
            </w:pP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El Premio “</w:t>
            </w:r>
            <w:r w:rsidR="007E7CB7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ANDREAS VESALIO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” será entregado por el Rector de la Universidad Abierta Interamericana durante una Sesión Pública </w:t>
            </w:r>
            <w:r w:rsidR="00C0341A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 xml:space="preserve">y </w:t>
            </w:r>
            <w:r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Solemne, en fecha a determinar</w:t>
            </w:r>
            <w:r w:rsidR="001B50C3" w:rsidRPr="001B50C3">
              <w:rPr>
                <w:rFonts w:ascii="Verdana" w:eastAsia="Times New Roman" w:hAnsi="Verdana"/>
                <w:sz w:val="17"/>
                <w:szCs w:val="17"/>
                <w:lang w:eastAsia="es-ES"/>
              </w:rPr>
              <w:t>.</w:t>
            </w:r>
          </w:p>
        </w:tc>
      </w:tr>
    </w:tbl>
    <w:p w:rsidR="004E6D90" w:rsidRDefault="004E6D90"/>
    <w:sectPr w:rsidR="004E6D90" w:rsidSect="004E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C0401"/>
    <w:rsid w:val="0011110C"/>
    <w:rsid w:val="00123CB3"/>
    <w:rsid w:val="001B50C3"/>
    <w:rsid w:val="001F1D40"/>
    <w:rsid w:val="003D2909"/>
    <w:rsid w:val="004E6D90"/>
    <w:rsid w:val="00694BCB"/>
    <w:rsid w:val="007E7CB7"/>
    <w:rsid w:val="00987DCE"/>
    <w:rsid w:val="009C0401"/>
    <w:rsid w:val="00B06DD5"/>
    <w:rsid w:val="00C0341A"/>
    <w:rsid w:val="00CF3387"/>
    <w:rsid w:val="00F06D0E"/>
    <w:rsid w:val="00F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0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E7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_humani_corporis_fabrica" TargetMode="External"/><Relationship Id="rId13" Type="http://schemas.openxmlformats.org/officeDocument/2006/relationships/hyperlink" Target="http://www.cirugia-uy.com/estatutos/reglam-premio_larghero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natom%C3%ADa_humana" TargetMode="External"/><Relationship Id="rId12" Type="http://schemas.openxmlformats.org/officeDocument/2006/relationships/hyperlink" Target="http://www.cirugia-uy.com/estatutos/reglam-premio_larghero.html" TargetMode="External"/><Relationship Id="rId17" Type="http://schemas.openxmlformats.org/officeDocument/2006/relationships/hyperlink" Target="http://www.cirugia-uy.com/estatutos/reglam-premio_largher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rugia-uy.com/estatutos/reglam-premio_larghe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Flandes" TargetMode="External"/><Relationship Id="rId11" Type="http://schemas.openxmlformats.org/officeDocument/2006/relationships/hyperlink" Target="http://www.cirugia-uy.com/estatutos/reglam-premio_larghero.html" TargetMode="External"/><Relationship Id="rId5" Type="http://schemas.openxmlformats.org/officeDocument/2006/relationships/hyperlink" Target="http://es.wikipedia.org/wiki/1564" TargetMode="External"/><Relationship Id="rId15" Type="http://schemas.openxmlformats.org/officeDocument/2006/relationships/hyperlink" Target="http://www.cirugia-uy.com/estatutos/reglam-premio_larghero.html" TargetMode="External"/><Relationship Id="rId10" Type="http://schemas.openxmlformats.org/officeDocument/2006/relationships/hyperlink" Target="http://www.cirugia-uy.com/estatutos/reglam-premio_larghero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s.wikipedia.org/wiki/1514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cirugia-uy.com/estatutos/reglam-premio_largher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1734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VanEduc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NCarfachis</cp:lastModifiedBy>
  <cp:revision>4</cp:revision>
  <cp:lastPrinted>2012-06-27T15:10:00Z</cp:lastPrinted>
  <dcterms:created xsi:type="dcterms:W3CDTF">2012-06-27T14:48:00Z</dcterms:created>
  <dcterms:modified xsi:type="dcterms:W3CDTF">2013-06-27T16:05:00Z</dcterms:modified>
</cp:coreProperties>
</file>